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7777777" w:rsidR="00531CAA" w:rsidRPr="00531CAA" w:rsidRDefault="00531CAA" w:rsidP="00531CAA">
      <w:pPr>
        <w:jc w:val="center"/>
        <w:rPr>
          <w:b/>
          <w:sz w:val="32"/>
          <w:szCs w:val="32"/>
        </w:rPr>
      </w:pPr>
      <w:r w:rsidRPr="00531CAA">
        <w:rPr>
          <w:b/>
          <w:sz w:val="32"/>
          <w:szCs w:val="32"/>
        </w:rPr>
        <w:t>UPUTSTVO ZA PODNOSIOCE PRIJAVE</w:t>
      </w:r>
    </w:p>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122E2CC0" w:rsidR="00A40C84" w:rsidRDefault="00846476" w:rsidP="00A40C84">
            <w:pPr>
              <w:jc w:val="center"/>
              <w:rPr>
                <w:b/>
                <w:bCs/>
                <w:sz w:val="24"/>
                <w:szCs w:val="24"/>
              </w:rPr>
            </w:pPr>
            <w:r w:rsidRPr="00846476">
              <w:rPr>
                <w:b/>
                <w:bCs/>
                <w:sz w:val="24"/>
                <w:szCs w:val="24"/>
              </w:rPr>
              <w:t>TRANSFER ZA FINANSIRANjE OBRAZOVANjA</w:t>
            </w:r>
          </w:p>
          <w:p w14:paraId="1390DDC9" w14:textId="13F60670" w:rsidR="00A40C84" w:rsidRPr="00A40C84" w:rsidRDefault="00C24C3A" w:rsidP="00C24C3A">
            <w:pPr>
              <w:jc w:val="center"/>
              <w:rPr>
                <w:b/>
                <w:bCs/>
                <w:sz w:val="24"/>
                <w:szCs w:val="24"/>
              </w:rPr>
            </w:pPr>
            <w:r w:rsidRPr="00C24C3A">
              <w:rPr>
                <w:b/>
                <w:bCs/>
                <w:sz w:val="24"/>
                <w:szCs w:val="24"/>
              </w:rPr>
              <w:t>Stalni javni poziv</w:t>
            </w:r>
            <w:r>
              <w:rPr>
                <w:b/>
                <w:bCs/>
                <w:sz w:val="24"/>
                <w:szCs w:val="24"/>
              </w:rPr>
              <w:t xml:space="preserve"> </w:t>
            </w:r>
            <w:r w:rsidRPr="00C24C3A">
              <w:rPr>
                <w:b/>
                <w:bCs/>
                <w:sz w:val="24"/>
                <w:szCs w:val="24"/>
              </w:rPr>
              <w:t>za podršku takmičenjima i takmičarskim manifestacijama u oblasti odgoja i obrazovanja iz Budžeta Federacije Bosne i Hercegovine u 2025. godini</w:t>
            </w:r>
          </w:p>
        </w:tc>
      </w:tr>
      <w:tr w:rsidR="00286516" w14:paraId="24EA8999" w14:textId="77777777" w:rsidTr="008D7232">
        <w:trPr>
          <w:trHeight w:val="672"/>
        </w:trPr>
        <w:tc>
          <w:tcPr>
            <w:tcW w:w="540" w:type="dxa"/>
            <w:vAlign w:val="center"/>
          </w:tcPr>
          <w:p w14:paraId="1E00AA86" w14:textId="3C5F8B85" w:rsidR="00286516" w:rsidRPr="00C50951" w:rsidRDefault="00286516" w:rsidP="00531CAA">
            <w:r w:rsidRPr="00C50951">
              <w:t>1</w:t>
            </w:r>
            <w:r w:rsidR="002B5B75">
              <w:t>.</w:t>
            </w:r>
          </w:p>
        </w:tc>
        <w:tc>
          <w:tcPr>
            <w:tcW w:w="3240" w:type="dxa"/>
            <w:vAlign w:val="center"/>
          </w:tcPr>
          <w:p w14:paraId="1A9A92DA" w14:textId="4FA51D7B" w:rsidR="00286516" w:rsidRPr="00C50951" w:rsidRDefault="002B5B75" w:rsidP="00531CAA">
            <w:r>
              <w:t xml:space="preserve">Opći cilj u </w:t>
            </w:r>
            <w:r w:rsidR="00286516" w:rsidRPr="00C50951">
              <w:t>oblasti koja je predmet finansiranja:</w:t>
            </w:r>
          </w:p>
        </w:tc>
        <w:tc>
          <w:tcPr>
            <w:tcW w:w="6390" w:type="dxa"/>
            <w:vAlign w:val="center"/>
          </w:tcPr>
          <w:p w14:paraId="37006334" w14:textId="0B40EA6E" w:rsidR="00286516" w:rsidRPr="00C50951" w:rsidRDefault="00286516" w:rsidP="00531CAA">
            <w:r w:rsidRPr="00C50951">
              <w:t>Unapređ</w:t>
            </w:r>
            <w:r w:rsidR="00C65E03">
              <w:t>enje</w:t>
            </w:r>
            <w:r w:rsidRPr="00C50951">
              <w:t xml:space="preserve"> obrazovnog sistema u Federaciji BiH</w:t>
            </w:r>
          </w:p>
        </w:tc>
      </w:tr>
      <w:tr w:rsidR="002B5B75" w14:paraId="317FBA92" w14:textId="77777777" w:rsidTr="008D7232">
        <w:trPr>
          <w:trHeight w:val="672"/>
        </w:trPr>
        <w:tc>
          <w:tcPr>
            <w:tcW w:w="540" w:type="dxa"/>
            <w:vAlign w:val="center"/>
          </w:tcPr>
          <w:p w14:paraId="1F5D2D65" w14:textId="38783FE4" w:rsidR="002B5B75" w:rsidRPr="00C50951" w:rsidRDefault="002B5B75" w:rsidP="00531CAA">
            <w:r>
              <w:t>2.</w:t>
            </w:r>
          </w:p>
        </w:tc>
        <w:tc>
          <w:tcPr>
            <w:tcW w:w="3240" w:type="dxa"/>
            <w:vAlign w:val="center"/>
          </w:tcPr>
          <w:p w14:paraId="54A343D9" w14:textId="22A02E85" w:rsidR="002B5B75" w:rsidRDefault="002B5B75" w:rsidP="00531CAA">
            <w:r>
              <w:t>Posebni cil</w:t>
            </w:r>
            <w:r w:rsidR="00114EBC">
              <w:t>j</w:t>
            </w:r>
            <w:r>
              <w:t xml:space="preserve"> programa koji se realizira putem </w:t>
            </w:r>
            <w:r w:rsidR="00C24C3A">
              <w:t xml:space="preserve">Stalnog javnog </w:t>
            </w:r>
            <w:r>
              <w:t>poziva:</w:t>
            </w:r>
          </w:p>
        </w:tc>
        <w:tc>
          <w:tcPr>
            <w:tcW w:w="6390" w:type="dxa"/>
            <w:vAlign w:val="center"/>
          </w:tcPr>
          <w:p w14:paraId="5560E236" w14:textId="3CCCE945" w:rsidR="00C24C3A" w:rsidRPr="00C24C3A" w:rsidRDefault="00C24C3A" w:rsidP="00C24C3A">
            <w:pPr>
              <w:tabs>
                <w:tab w:val="center" w:pos="4679"/>
              </w:tabs>
              <w:overflowPunct w:val="0"/>
              <w:autoSpaceDE w:val="0"/>
              <w:autoSpaceDN w:val="0"/>
              <w:adjustRightInd w:val="0"/>
              <w:ind w:right="46"/>
              <w:jc w:val="both"/>
            </w:pPr>
            <w:r>
              <w:t>P</w:t>
            </w:r>
            <w:r w:rsidRPr="00C24C3A">
              <w:t>odrška takmičenjima, takmičarskim manifestacijama i smotrama znanja u oblasti odgoja i obrazovanja i učešću učenika na istim s ciljem razvoja, afirmacije i promocije odgojno-obrazovne djelatnosti.</w:t>
            </w:r>
          </w:p>
          <w:p w14:paraId="166EBE1A" w14:textId="325B1DA1" w:rsidR="002B5B75" w:rsidRPr="00C50951" w:rsidRDefault="002B5B75" w:rsidP="002B5B75"/>
        </w:tc>
      </w:tr>
      <w:tr w:rsidR="002B5B75" w14:paraId="2FB96E81" w14:textId="77777777" w:rsidTr="008D7232">
        <w:trPr>
          <w:trHeight w:val="672"/>
        </w:trPr>
        <w:tc>
          <w:tcPr>
            <w:tcW w:w="540" w:type="dxa"/>
            <w:vAlign w:val="center"/>
          </w:tcPr>
          <w:p w14:paraId="03E12D6D" w14:textId="7837D335" w:rsidR="002B5B75" w:rsidRDefault="002B5B75" w:rsidP="002B5B75">
            <w:r>
              <w:t>3.</w:t>
            </w:r>
          </w:p>
        </w:tc>
        <w:tc>
          <w:tcPr>
            <w:tcW w:w="3240" w:type="dxa"/>
            <w:vAlign w:val="center"/>
          </w:tcPr>
          <w:p w14:paraId="7098575B" w14:textId="051B78B2" w:rsidR="002B5B75" w:rsidRDefault="002B5B75" w:rsidP="002B5B75">
            <w:r w:rsidRPr="008D7232">
              <w:t>Ukupna vrijednost program</w:t>
            </w:r>
            <w:r w:rsidR="00C24C3A">
              <w:t>a</w:t>
            </w:r>
            <w:r w:rsidRPr="008D7232">
              <w:t xml:space="preserve"> i najviši finansijski iznos koji može biti dodijeljen za pojedini projek</w:t>
            </w:r>
            <w:r>
              <w:t>a</w:t>
            </w:r>
            <w:r w:rsidRPr="008D7232">
              <w:t xml:space="preserve">t </w:t>
            </w:r>
          </w:p>
        </w:tc>
        <w:tc>
          <w:tcPr>
            <w:tcW w:w="6390" w:type="dxa"/>
            <w:vAlign w:val="center"/>
          </w:tcPr>
          <w:p w14:paraId="7B9DBE32" w14:textId="5CE0ED83" w:rsidR="002B5B75" w:rsidRDefault="00C24C3A" w:rsidP="00C24C3A">
            <w:r>
              <w:t>U</w:t>
            </w:r>
            <w:r w:rsidR="002B5B75">
              <w:t xml:space="preserve">kupna vrijednost programa: </w:t>
            </w:r>
            <w:r w:rsidRPr="00C24C3A">
              <w:t>70.000,00 KM.</w:t>
            </w:r>
          </w:p>
          <w:p w14:paraId="25E01946" w14:textId="77777777" w:rsidR="00C24C3A" w:rsidRDefault="00C24C3A" w:rsidP="00C24C3A"/>
          <w:p w14:paraId="6D966D49" w14:textId="3BFEF19D" w:rsidR="002B5B75" w:rsidRDefault="00C24C3A" w:rsidP="00C24C3A">
            <w:r>
              <w:t>N</w:t>
            </w:r>
            <w:r w:rsidR="002B5B75">
              <w:t xml:space="preserve">ajviši iznos po projektu: </w:t>
            </w:r>
            <w:r w:rsidR="002B5B75" w:rsidRPr="00A12739">
              <w:t>10.000,00 KM</w:t>
            </w:r>
          </w:p>
          <w:p w14:paraId="3EEB83BA" w14:textId="77777777" w:rsidR="002B5B75" w:rsidRDefault="002B5B75" w:rsidP="002B5B75">
            <w:pPr>
              <w:pStyle w:val="ListParagraph"/>
            </w:pPr>
          </w:p>
          <w:p w14:paraId="1F5C3712" w14:textId="77777777" w:rsidR="002B5B75" w:rsidRDefault="002B5B75" w:rsidP="00C24C3A">
            <w:pPr>
              <w:pStyle w:val="ListParagraph"/>
            </w:pPr>
          </w:p>
        </w:tc>
      </w:tr>
      <w:tr w:rsidR="00F12784" w14:paraId="02833640" w14:textId="77777777" w:rsidTr="008D7232">
        <w:trPr>
          <w:trHeight w:val="672"/>
        </w:trPr>
        <w:tc>
          <w:tcPr>
            <w:tcW w:w="540" w:type="dxa"/>
            <w:vAlign w:val="center"/>
          </w:tcPr>
          <w:p w14:paraId="0B725D56" w14:textId="363EEDC2" w:rsidR="00F12784" w:rsidRDefault="00F12784" w:rsidP="00F12784">
            <w:r>
              <w:t>4.</w:t>
            </w:r>
          </w:p>
        </w:tc>
        <w:tc>
          <w:tcPr>
            <w:tcW w:w="3240" w:type="dxa"/>
            <w:vAlign w:val="center"/>
          </w:tcPr>
          <w:p w14:paraId="3D735BAC" w14:textId="5256896C" w:rsidR="00F12784" w:rsidRPr="008D7232" w:rsidRDefault="00F12784" w:rsidP="00F12784">
            <w:r w:rsidRPr="008D7232">
              <w:t>Potencijalni podnosioci prijava</w:t>
            </w:r>
            <w:r w:rsidR="00326233">
              <w:t xml:space="preserve"> (podnosioci prijava koji mogu biti korisnici sredstava </w:t>
            </w:r>
            <w:r w:rsidR="00C24C3A">
              <w:t xml:space="preserve">u okviru </w:t>
            </w:r>
            <w:r w:rsidR="00326233">
              <w:t>p</w:t>
            </w:r>
            <w:r w:rsidR="00C24C3A">
              <w:t>rograma koji se realizira putem Stalnog javnog poziva</w:t>
            </w:r>
            <w:r w:rsidR="00326233">
              <w:t>)</w:t>
            </w:r>
          </w:p>
        </w:tc>
        <w:tc>
          <w:tcPr>
            <w:tcW w:w="6390" w:type="dxa"/>
            <w:vAlign w:val="center"/>
          </w:tcPr>
          <w:p w14:paraId="0D90AE81" w14:textId="0E7CF3AA" w:rsidR="00892F08" w:rsidRPr="00C24C3A" w:rsidRDefault="00C24C3A" w:rsidP="00C24C3A">
            <w:pPr>
              <w:overflowPunct w:val="0"/>
              <w:autoSpaceDE w:val="0"/>
              <w:autoSpaceDN w:val="0"/>
              <w:adjustRightInd w:val="0"/>
              <w:jc w:val="both"/>
            </w:pPr>
            <w:r w:rsidRPr="00C24C3A">
              <w:t>Predškolske ustanove, osnovne i srednje škole, pedagoški zavodi (ili druge ustanove registrirane za ovu djelatnost), stručne nevladine organizacije koje organiziraju takmičenja za neki od predmeta iz nastavnog plana i programa osnovnih ili srednjih škola</w:t>
            </w:r>
            <w:r>
              <w:t>.</w:t>
            </w:r>
          </w:p>
        </w:tc>
      </w:tr>
      <w:tr w:rsidR="00326233" w14:paraId="239065B7" w14:textId="77777777" w:rsidTr="008D7232">
        <w:trPr>
          <w:trHeight w:val="672"/>
        </w:trPr>
        <w:tc>
          <w:tcPr>
            <w:tcW w:w="540" w:type="dxa"/>
            <w:vAlign w:val="center"/>
          </w:tcPr>
          <w:p w14:paraId="42D60425" w14:textId="5134E2D2" w:rsidR="00326233" w:rsidRDefault="00326233" w:rsidP="00F12784">
            <w:r>
              <w:t>5.</w:t>
            </w:r>
          </w:p>
        </w:tc>
        <w:tc>
          <w:tcPr>
            <w:tcW w:w="3240" w:type="dxa"/>
            <w:vAlign w:val="center"/>
          </w:tcPr>
          <w:p w14:paraId="2769CECB" w14:textId="4D55E78C" w:rsidR="00326233" w:rsidRPr="008D7232" w:rsidRDefault="00326233" w:rsidP="00F12784">
            <w:r>
              <w:t xml:space="preserve">Prihvatljive aktivnosti za provođenje projekata u okviru programa </w:t>
            </w:r>
            <w:r w:rsidR="00AE0B86">
              <w:t>Stalnog j</w:t>
            </w:r>
            <w:r>
              <w:t>avnog poziva</w:t>
            </w:r>
          </w:p>
        </w:tc>
        <w:tc>
          <w:tcPr>
            <w:tcW w:w="6390" w:type="dxa"/>
            <w:vAlign w:val="center"/>
          </w:tcPr>
          <w:p w14:paraId="212F02F0" w14:textId="7481B5DC" w:rsidR="00326233" w:rsidRPr="00326233" w:rsidRDefault="00326233" w:rsidP="00326233">
            <w:r w:rsidRPr="00326233">
              <w:t xml:space="preserve">U tekstu </w:t>
            </w:r>
            <w:r w:rsidR="00C24C3A">
              <w:t>Stalnog j</w:t>
            </w:r>
            <w:r w:rsidRPr="00326233">
              <w:t>avnog poziva su navedeni kriteriji, a ispod kriterija i vrst</w:t>
            </w:r>
            <w:r>
              <w:t>a</w:t>
            </w:r>
            <w:r w:rsidRPr="00326233">
              <w:t xml:space="preserve"> projekata ili aktivnosti za koju je program namijenjen.</w:t>
            </w:r>
          </w:p>
        </w:tc>
      </w:tr>
      <w:tr w:rsidR="00982C39" w14:paraId="2235D42D" w14:textId="77777777" w:rsidTr="008D7232">
        <w:trPr>
          <w:trHeight w:val="672"/>
        </w:trPr>
        <w:tc>
          <w:tcPr>
            <w:tcW w:w="540" w:type="dxa"/>
            <w:vAlign w:val="center"/>
          </w:tcPr>
          <w:p w14:paraId="0E799CA0" w14:textId="1AA4677F" w:rsidR="00982C39" w:rsidRDefault="00982C39" w:rsidP="00982C39">
            <w:r>
              <w:t>6.</w:t>
            </w:r>
          </w:p>
        </w:tc>
        <w:tc>
          <w:tcPr>
            <w:tcW w:w="3240" w:type="dxa"/>
            <w:vAlign w:val="center"/>
          </w:tcPr>
          <w:p w14:paraId="6A7A4DAF" w14:textId="13DC2A87" w:rsidR="00982C39" w:rsidRDefault="00982C39" w:rsidP="00982C39">
            <w:r w:rsidRPr="008D7232">
              <w:t>Neprihvatljivi troškovi koji se ne mogu finansirati dodijeljenim sredstvima</w:t>
            </w:r>
          </w:p>
        </w:tc>
        <w:tc>
          <w:tcPr>
            <w:tcW w:w="6390" w:type="dxa"/>
            <w:vAlign w:val="center"/>
          </w:tcPr>
          <w:p w14:paraId="71032F2D" w14:textId="00583B2A" w:rsidR="00982C39" w:rsidRPr="00326233" w:rsidRDefault="00982C39" w:rsidP="00982C39">
            <w:r>
              <w:t>P</w:t>
            </w:r>
            <w:r w:rsidRPr="008D7232">
              <w:t>late i naknade troškova zaposlenika.</w:t>
            </w:r>
          </w:p>
        </w:tc>
      </w:tr>
      <w:tr w:rsidR="00982C39" w14:paraId="7DCB6034" w14:textId="77777777" w:rsidTr="008D7232">
        <w:trPr>
          <w:trHeight w:val="672"/>
        </w:trPr>
        <w:tc>
          <w:tcPr>
            <w:tcW w:w="540" w:type="dxa"/>
            <w:vAlign w:val="center"/>
          </w:tcPr>
          <w:p w14:paraId="5012F6BE" w14:textId="5DD413BC" w:rsidR="00982C39" w:rsidRDefault="00982C39" w:rsidP="00982C39">
            <w:r>
              <w:t>7.</w:t>
            </w:r>
          </w:p>
        </w:tc>
        <w:tc>
          <w:tcPr>
            <w:tcW w:w="3240" w:type="dxa"/>
            <w:vAlign w:val="center"/>
          </w:tcPr>
          <w:p w14:paraId="0290AD92" w14:textId="5A9CCB60" w:rsidR="00982C39" w:rsidRPr="008D7232" w:rsidRDefault="00982C39" w:rsidP="00982C39">
            <w:r w:rsidRPr="00C50951">
              <w:t>Pravila vidljivosti (promocija programa, projekata i rezultata) koja se trebaju poštovati u provođenju programa ili projekta</w:t>
            </w:r>
          </w:p>
        </w:tc>
        <w:tc>
          <w:tcPr>
            <w:tcW w:w="6390" w:type="dxa"/>
            <w:vAlign w:val="center"/>
          </w:tcPr>
          <w:p w14:paraId="4C330FF2" w14:textId="2DC0F393" w:rsidR="00982C39" w:rsidRPr="00C50951" w:rsidRDefault="00982C39" w:rsidP="00982C39">
            <w:pPr>
              <w:spacing w:line="256" w:lineRule="auto"/>
              <w:contextualSpacing/>
              <w:rPr>
                <w:rFonts w:ascii="Calibri" w:eastAsia="Calibri" w:hAnsi="Calibri" w:cs="Times New Roman"/>
              </w:rPr>
            </w:pPr>
            <w:r w:rsidRPr="00C50951">
              <w:rPr>
                <w:rFonts w:ascii="Calibri" w:eastAsia="Calibri" w:hAnsi="Calibri" w:cs="Times New Roman"/>
              </w:rPr>
              <w:t xml:space="preserve">U realizaciji svih projektnih aktivnosti, a posebno aktivnosti koje se odnose na prezentiranje i promociju rezultata projekta, obavezno naznačiti da je </w:t>
            </w:r>
            <w:r w:rsidR="008C23F3">
              <w:rPr>
                <w:rFonts w:ascii="Calibri" w:eastAsia="Calibri" w:hAnsi="Calibri" w:cs="Times New Roman"/>
              </w:rPr>
              <w:t>Federalno m</w:t>
            </w:r>
            <w:r w:rsidRPr="00C50951">
              <w:rPr>
                <w:rFonts w:ascii="Calibri" w:eastAsia="Calibri" w:hAnsi="Calibri" w:cs="Times New Roman"/>
              </w:rPr>
              <w:t xml:space="preserve">inistarstvo </w:t>
            </w:r>
            <w:r w:rsidR="008C23F3">
              <w:rPr>
                <w:rFonts w:ascii="Calibri" w:eastAsia="Calibri" w:hAnsi="Calibri" w:cs="Times New Roman"/>
              </w:rPr>
              <w:t xml:space="preserve">obrazovanja i nauke </w:t>
            </w:r>
            <w:r w:rsidRPr="00C50951">
              <w:rPr>
                <w:rFonts w:ascii="Calibri" w:eastAsia="Calibri" w:hAnsi="Calibri" w:cs="Times New Roman"/>
              </w:rPr>
              <w:t>finansiralo/sufinansiralo projekat.</w:t>
            </w:r>
          </w:p>
          <w:p w14:paraId="035F65A7" w14:textId="77777777" w:rsidR="00982C39" w:rsidRDefault="00982C39" w:rsidP="00982C39"/>
        </w:tc>
      </w:tr>
      <w:tr w:rsidR="00982C39" w14:paraId="40A05C41" w14:textId="77777777" w:rsidTr="008D7232">
        <w:trPr>
          <w:trHeight w:val="672"/>
        </w:trPr>
        <w:tc>
          <w:tcPr>
            <w:tcW w:w="540" w:type="dxa"/>
            <w:vAlign w:val="center"/>
          </w:tcPr>
          <w:p w14:paraId="3BF15D4F" w14:textId="7C559324" w:rsidR="00982C39" w:rsidRDefault="00982C39" w:rsidP="00982C39">
            <w:r>
              <w:t>8.</w:t>
            </w:r>
          </w:p>
        </w:tc>
        <w:tc>
          <w:tcPr>
            <w:tcW w:w="3240" w:type="dxa"/>
            <w:vAlign w:val="center"/>
          </w:tcPr>
          <w:p w14:paraId="3595714C" w14:textId="1CCFED34" w:rsidR="00982C39" w:rsidRPr="008D7232" w:rsidRDefault="00982C39" w:rsidP="00982C39">
            <w:r w:rsidRPr="008D7232">
              <w:t>Zahtjev za finansiranje/sufinansiranje projekta – obrazac Zahtjeva</w:t>
            </w:r>
          </w:p>
        </w:tc>
        <w:tc>
          <w:tcPr>
            <w:tcW w:w="6390" w:type="dxa"/>
            <w:vAlign w:val="center"/>
          </w:tcPr>
          <w:p w14:paraId="41284308" w14:textId="2F2AB83A" w:rsidR="00982C39" w:rsidRDefault="00982C39" w:rsidP="00982C39">
            <w:r w:rsidRPr="00846476">
              <w:t>Zahtjev za finansiranje/sufinansiranje projekta treba</w:t>
            </w:r>
            <w:r>
              <w:t xml:space="preserve"> u potpunosti</w:t>
            </w:r>
            <w:r w:rsidRPr="00846476">
              <w:t xml:space="preserve"> popuniti na obrascu</w:t>
            </w:r>
            <w:r>
              <w:t xml:space="preserve"> Zahtjeva. U obrascu Zahtjeva sa x označiti dokumentaciju koja se prilaže uz obrazac Zahtjeva. Zahtjev treba obavezno potpisati ovlaštena osoba za zastupanje, te ovjeriti isti pečatom podnosioca zahtjeva (ustanove, udruženje ili dr. organizacije koja je podnosilac zahtjeva). Staviti datum podnošenja prijave na odgovarajuće mjesto u obrascu Zahtjeva.</w:t>
            </w:r>
            <w:r w:rsidRPr="00846476">
              <w:t xml:space="preserve"> </w:t>
            </w:r>
          </w:p>
        </w:tc>
      </w:tr>
      <w:tr w:rsidR="00E84B58" w14:paraId="2D955C0B" w14:textId="77777777" w:rsidTr="008D7232">
        <w:trPr>
          <w:trHeight w:val="672"/>
        </w:trPr>
        <w:tc>
          <w:tcPr>
            <w:tcW w:w="540" w:type="dxa"/>
            <w:vAlign w:val="center"/>
          </w:tcPr>
          <w:p w14:paraId="086D210D" w14:textId="2059FF45" w:rsidR="00E84B58" w:rsidRDefault="00E84B58" w:rsidP="00E84B58">
            <w:r>
              <w:t>9.</w:t>
            </w:r>
          </w:p>
        </w:tc>
        <w:tc>
          <w:tcPr>
            <w:tcW w:w="3240" w:type="dxa"/>
            <w:vAlign w:val="center"/>
          </w:tcPr>
          <w:p w14:paraId="6D35C93F" w14:textId="5FD7CC99" w:rsidR="00E84B58" w:rsidRPr="00102F11" w:rsidRDefault="00E84B58" w:rsidP="00E84B58">
            <w:pPr>
              <w:rPr>
                <w:b/>
                <w:bCs/>
              </w:rPr>
            </w:pPr>
            <w:r w:rsidRPr="00F03B24">
              <w:t>Prilozi uz obrazac Zahtjeva</w:t>
            </w:r>
          </w:p>
        </w:tc>
        <w:tc>
          <w:tcPr>
            <w:tcW w:w="6390" w:type="dxa"/>
            <w:vAlign w:val="center"/>
          </w:tcPr>
          <w:p w14:paraId="74D0E0F2" w14:textId="77777777" w:rsidR="00E84B58" w:rsidRDefault="00E84B58" w:rsidP="00E84B58">
            <w:r>
              <w:t>Uz popunjeni obrazac Zahtjeva neophodno je dostaviti sljedeće priloge:</w:t>
            </w:r>
          </w:p>
          <w:p w14:paraId="0C529C2D" w14:textId="77777777" w:rsidR="00E84B58" w:rsidRDefault="00E84B58" w:rsidP="00E84B58">
            <w:pPr>
              <w:pStyle w:val="ListParagraph"/>
              <w:numPr>
                <w:ilvl w:val="0"/>
                <w:numId w:val="3"/>
              </w:numPr>
            </w:pPr>
            <w:r>
              <w:t>Detaljan opis projekta za koji se traži (su)finansiranje;</w:t>
            </w:r>
          </w:p>
          <w:p w14:paraId="583E325A" w14:textId="77777777" w:rsidR="00E84B58" w:rsidRDefault="00E84B58" w:rsidP="00E84B58">
            <w:pPr>
              <w:pStyle w:val="ListParagraph"/>
              <w:numPr>
                <w:ilvl w:val="0"/>
                <w:numId w:val="3"/>
              </w:numPr>
            </w:pPr>
            <w:r>
              <w:t>Detaljno razrađen finansijski plan projekta (budžet);</w:t>
            </w:r>
          </w:p>
          <w:p w14:paraId="651E95E3" w14:textId="50B48834" w:rsidR="00E84B58" w:rsidRDefault="00E84B58" w:rsidP="00E84B58">
            <w:pPr>
              <w:pStyle w:val="ListParagraph"/>
              <w:numPr>
                <w:ilvl w:val="0"/>
                <w:numId w:val="3"/>
              </w:numPr>
            </w:pPr>
            <w:r>
              <w:t>Dokumentacij</w:t>
            </w:r>
            <w:r w:rsidR="008C23F3">
              <w:t>u</w:t>
            </w:r>
            <w:r>
              <w:t xml:space="preserve"> koja je navedena kao obavezna u obrascu Zahtjeva;</w:t>
            </w:r>
          </w:p>
          <w:p w14:paraId="43765485" w14:textId="48097A35" w:rsidR="00E84B58" w:rsidRDefault="00E84B58" w:rsidP="00E84B58">
            <w:r>
              <w:t>D</w:t>
            </w:r>
            <w:r w:rsidRPr="00F03B24">
              <w:t>rug</w:t>
            </w:r>
            <w:r w:rsidR="008C23F3">
              <w:t>u</w:t>
            </w:r>
            <w:r w:rsidRPr="00F03B24">
              <w:t xml:space="preserve"> dodatn</w:t>
            </w:r>
            <w:r w:rsidR="008C23F3">
              <w:t>u</w:t>
            </w:r>
            <w:r w:rsidRPr="00F03B24">
              <w:t xml:space="preserve"> dokumentacij</w:t>
            </w:r>
            <w:r>
              <w:t>a</w:t>
            </w:r>
            <w:r w:rsidRPr="00F03B24">
              <w:t xml:space="preserve"> kojom </w:t>
            </w:r>
            <w:r w:rsidR="008C23F3">
              <w:t xml:space="preserve">podnosilac zahtjeva </w:t>
            </w:r>
            <w:r w:rsidRPr="00F03B24">
              <w:t xml:space="preserve">dokazuje da ispunjava </w:t>
            </w:r>
            <w:r w:rsidRPr="008C23F3">
              <w:t xml:space="preserve">propisane opće uslove i kriterije iz </w:t>
            </w:r>
            <w:r w:rsidR="00C24C3A">
              <w:t>Stalnog j</w:t>
            </w:r>
            <w:r w:rsidRPr="00F03B24">
              <w:t>avnog poziva</w:t>
            </w:r>
            <w:r>
              <w:t>.</w:t>
            </w:r>
          </w:p>
        </w:tc>
      </w:tr>
      <w:tr w:rsidR="008C23F3" w:rsidRPr="008C23F3" w14:paraId="7055EB2B" w14:textId="77777777" w:rsidTr="00E84B58">
        <w:trPr>
          <w:trHeight w:val="708"/>
        </w:trPr>
        <w:tc>
          <w:tcPr>
            <w:tcW w:w="540" w:type="dxa"/>
            <w:vAlign w:val="center"/>
          </w:tcPr>
          <w:p w14:paraId="3225ACF2" w14:textId="5F76687D" w:rsidR="00E84B58" w:rsidRDefault="00E84B58" w:rsidP="00E84B58">
            <w:r>
              <w:lastRenderedPageBreak/>
              <w:t>1</w:t>
            </w:r>
            <w:r w:rsidR="00486483">
              <w:t>0</w:t>
            </w:r>
            <w:r>
              <w:t>.</w:t>
            </w:r>
          </w:p>
        </w:tc>
        <w:tc>
          <w:tcPr>
            <w:tcW w:w="3240" w:type="dxa"/>
            <w:vAlign w:val="center"/>
          </w:tcPr>
          <w:p w14:paraId="6A688FA3" w14:textId="0E76AD2A" w:rsidR="00E84B58" w:rsidRDefault="00E84B58" w:rsidP="00E84B58">
            <w:r>
              <w:t xml:space="preserve">Način podnošenja prijave/zahtjeva na </w:t>
            </w:r>
            <w:r w:rsidR="00E1434A">
              <w:t>Stalni j</w:t>
            </w:r>
            <w:r>
              <w:t>avni poziv</w:t>
            </w:r>
          </w:p>
        </w:tc>
        <w:tc>
          <w:tcPr>
            <w:tcW w:w="6390" w:type="dxa"/>
            <w:vAlign w:val="center"/>
          </w:tcPr>
          <w:p w14:paraId="5AAB0A34" w14:textId="464BFE1B" w:rsidR="00E84B58" w:rsidRPr="008C23F3" w:rsidRDefault="00E84B58" w:rsidP="00E84B58">
            <w:pPr>
              <w:jc w:val="both"/>
              <w:rPr>
                <w:rFonts w:ascii="Arial" w:eastAsia="Times New Roman" w:hAnsi="Arial" w:cs="Arial"/>
                <w:noProof/>
                <w:lang w:val="hr-HR"/>
              </w:rPr>
            </w:pPr>
            <w:r w:rsidRPr="008C23F3">
              <w:rPr>
                <w:rFonts w:ascii="Arial" w:eastAsia="Times New Roman" w:hAnsi="Arial" w:cs="Arial"/>
                <w:noProof/>
                <w:lang w:val="hr-HR"/>
              </w:rPr>
              <w:t>ZAHTJEV SA KOMPLETNOM DOKUMENTACIJOM OBAVEZNO SE PODNOSI U KOVERTI U 1 PRIMJERKU (ORIGINAL</w:t>
            </w:r>
            <w:r w:rsidR="008C23F3" w:rsidRPr="008C23F3">
              <w:rPr>
                <w:rFonts w:ascii="Arial" w:eastAsia="Times New Roman" w:hAnsi="Arial" w:cs="Arial"/>
                <w:noProof/>
                <w:lang w:val="hr-HR"/>
              </w:rPr>
              <w:t xml:space="preserve"> ili </w:t>
            </w:r>
            <w:r w:rsidRPr="008C23F3">
              <w:rPr>
                <w:rFonts w:ascii="Arial" w:eastAsia="Times New Roman" w:hAnsi="Arial" w:cs="Arial"/>
                <w:noProof/>
                <w:lang w:val="hr-HR"/>
              </w:rPr>
              <w:t>OVJERENA KOPIJA</w:t>
            </w:r>
            <w:r w:rsidR="008C23F3" w:rsidRPr="008C23F3">
              <w:rPr>
                <w:rFonts w:ascii="Arial" w:eastAsia="Times New Roman" w:hAnsi="Arial" w:cs="Arial"/>
                <w:noProof/>
                <w:lang w:val="hr-HR"/>
              </w:rPr>
              <w:t xml:space="preserve"> ORIGINALA</w:t>
            </w:r>
            <w:r w:rsidRPr="008C23F3">
              <w:rPr>
                <w:rFonts w:ascii="Arial" w:eastAsia="Times New Roman" w:hAnsi="Arial" w:cs="Arial"/>
                <w:noProof/>
                <w:lang w:val="hr-HR"/>
              </w:rPr>
              <w:t>) PUTEM POŠTE NA ADRESU:</w:t>
            </w:r>
          </w:p>
          <w:p w14:paraId="7198A3FA" w14:textId="77777777" w:rsidR="00E84B58" w:rsidRPr="008C23F3" w:rsidRDefault="00E84B58" w:rsidP="00E84B58">
            <w:pPr>
              <w:jc w:val="both"/>
              <w:rPr>
                <w:rFonts w:ascii="Arial" w:eastAsia="Times New Roman" w:hAnsi="Arial" w:cs="Arial"/>
                <w:noProof/>
                <w:lang w:val="hr-HR"/>
              </w:rPr>
            </w:pPr>
            <w:r w:rsidRPr="008C23F3">
              <w:rPr>
                <w:rFonts w:ascii="Arial" w:eastAsia="Times New Roman" w:hAnsi="Arial" w:cs="Arial"/>
                <w:noProof/>
                <w:lang w:val="hr-HR"/>
              </w:rPr>
              <w:t xml:space="preserve"> </w:t>
            </w:r>
          </w:p>
          <w:p w14:paraId="00C216C8" w14:textId="77777777" w:rsidR="00486483" w:rsidRPr="008C23F3" w:rsidRDefault="00486483" w:rsidP="00486483">
            <w:pPr>
              <w:jc w:val="center"/>
              <w:rPr>
                <w:rFonts w:ascii="Arial" w:eastAsia="Times New Roman" w:hAnsi="Arial" w:cs="Arial"/>
                <w:b/>
                <w:noProof/>
                <w:lang w:val="hr-HR"/>
              </w:rPr>
            </w:pPr>
            <w:r w:rsidRPr="008C23F3">
              <w:rPr>
                <w:rFonts w:ascii="Arial" w:eastAsia="Times New Roman" w:hAnsi="Arial" w:cs="Arial"/>
                <w:b/>
                <w:noProof/>
                <w:lang w:val="hr-HR"/>
              </w:rPr>
              <w:t>FEDERALNO MINISTARSTVO OBRAZOVANJA I NAUKE</w:t>
            </w:r>
          </w:p>
          <w:p w14:paraId="30F0A88F" w14:textId="77777777" w:rsidR="00486483" w:rsidRPr="008C23F3" w:rsidRDefault="00486483" w:rsidP="00486483">
            <w:pPr>
              <w:jc w:val="center"/>
              <w:rPr>
                <w:rFonts w:ascii="Arial" w:eastAsia="Times New Roman" w:hAnsi="Arial" w:cs="Arial"/>
                <w:b/>
                <w:noProof/>
                <w:lang w:val="hr-HR"/>
              </w:rPr>
            </w:pPr>
            <w:r w:rsidRPr="008C23F3">
              <w:rPr>
                <w:rFonts w:ascii="Arial" w:eastAsia="Times New Roman" w:hAnsi="Arial" w:cs="Arial"/>
                <w:b/>
                <w:noProof/>
                <w:lang w:val="hr-HR"/>
              </w:rPr>
              <w:t>Dr. Ante Starčevića bb (Hotel „Ero“)</w:t>
            </w:r>
          </w:p>
          <w:p w14:paraId="1B7F4EBE" w14:textId="77777777" w:rsidR="00486483" w:rsidRPr="008C23F3" w:rsidRDefault="00486483" w:rsidP="00486483">
            <w:pPr>
              <w:jc w:val="center"/>
              <w:rPr>
                <w:rFonts w:ascii="Arial" w:eastAsia="Times New Roman" w:hAnsi="Arial" w:cs="Arial"/>
                <w:b/>
                <w:noProof/>
                <w:lang w:val="hr-HR"/>
              </w:rPr>
            </w:pPr>
            <w:r w:rsidRPr="008C23F3">
              <w:rPr>
                <w:rFonts w:ascii="Arial" w:eastAsia="Times New Roman" w:hAnsi="Arial" w:cs="Arial"/>
                <w:b/>
                <w:noProof/>
                <w:lang w:val="hr-HR"/>
              </w:rPr>
              <w:t>88000 Mostar</w:t>
            </w:r>
          </w:p>
          <w:p w14:paraId="7DFC975D" w14:textId="77777777" w:rsidR="00486483" w:rsidRPr="008C23F3" w:rsidRDefault="00486483" w:rsidP="00486483">
            <w:pPr>
              <w:jc w:val="center"/>
              <w:rPr>
                <w:rFonts w:ascii="Arial" w:eastAsia="Times New Roman" w:hAnsi="Arial" w:cs="Arial"/>
                <w:b/>
                <w:noProof/>
                <w:lang w:val="hr-HR"/>
              </w:rPr>
            </w:pPr>
            <w:r w:rsidRPr="008C23F3">
              <w:rPr>
                <w:rFonts w:ascii="Arial" w:eastAsia="Times New Roman" w:hAnsi="Arial" w:cs="Arial"/>
                <w:b/>
                <w:noProof/>
                <w:lang w:val="hr-HR"/>
              </w:rPr>
              <w:t>Sa napomenom: „Za STALNI JAVNI POZIV</w:t>
            </w:r>
          </w:p>
          <w:p w14:paraId="5E47C627" w14:textId="6C603CFE" w:rsidR="00486483" w:rsidRPr="008C23F3" w:rsidRDefault="00486483" w:rsidP="00486483">
            <w:pPr>
              <w:jc w:val="center"/>
              <w:rPr>
                <w:rFonts w:ascii="Arial" w:eastAsia="Times New Roman" w:hAnsi="Arial" w:cs="Arial"/>
                <w:b/>
                <w:noProof/>
                <w:lang w:val="hr-HR"/>
              </w:rPr>
            </w:pPr>
            <w:r w:rsidRPr="008C23F3">
              <w:rPr>
                <w:rFonts w:ascii="Arial" w:eastAsia="Times New Roman" w:hAnsi="Arial" w:cs="Arial"/>
                <w:b/>
                <w:noProof/>
                <w:lang w:val="hr-HR"/>
              </w:rPr>
              <w:t>za podršku takmičenjima i takmičarskim manifestacijama u oblasti odgoja i obrazovanja iz Budžeta Federacije Bosne i Hercegovine u 2025. godini</w:t>
            </w:r>
            <w:r w:rsidR="008C23F3" w:rsidRPr="008C23F3">
              <w:rPr>
                <w:rFonts w:ascii="Arial" w:eastAsia="Times New Roman" w:hAnsi="Arial" w:cs="Arial"/>
                <w:b/>
                <w:noProof/>
                <w:lang w:val="hr-HR"/>
              </w:rPr>
              <w:t xml:space="preserve"> </w:t>
            </w:r>
            <w:r w:rsidRPr="008C23F3">
              <w:rPr>
                <w:rFonts w:ascii="Arial" w:eastAsia="Times New Roman" w:hAnsi="Arial" w:cs="Arial"/>
                <w:b/>
                <w:noProof/>
                <w:lang w:val="hr-HR"/>
              </w:rPr>
              <w:t xml:space="preserve">– ne otvarati“ </w:t>
            </w:r>
          </w:p>
          <w:p w14:paraId="78195860" w14:textId="77777777" w:rsidR="00486483" w:rsidRPr="008C23F3" w:rsidRDefault="00486483" w:rsidP="00E84B58">
            <w:pPr>
              <w:rPr>
                <w:rFonts w:ascii="Arial" w:eastAsia="Times New Roman" w:hAnsi="Arial" w:cs="Arial"/>
                <w:bCs/>
                <w:noProof/>
                <w:lang w:val="hr-HR"/>
              </w:rPr>
            </w:pPr>
          </w:p>
          <w:p w14:paraId="7E433920" w14:textId="0289B60A" w:rsidR="00E84B58" w:rsidRPr="008C23F3" w:rsidRDefault="00E84B58" w:rsidP="00E84B58">
            <w:pPr>
              <w:rPr>
                <w:rFonts w:ascii="Arial" w:eastAsia="Times New Roman" w:hAnsi="Arial" w:cs="Arial"/>
                <w:b/>
                <w:noProof/>
                <w:lang w:val="hr-HR"/>
              </w:rPr>
            </w:pPr>
            <w:r w:rsidRPr="008C23F3">
              <w:rPr>
                <w:rFonts w:ascii="Arial" w:eastAsia="Times New Roman" w:hAnsi="Arial" w:cs="Arial"/>
                <w:bCs/>
                <w:noProof/>
                <w:lang w:val="hr-HR"/>
              </w:rPr>
              <w:t>OBAVEZNO NA KOVERTI NAVESTI PODATKE POŠILJAOCA.</w:t>
            </w:r>
          </w:p>
          <w:p w14:paraId="1D509840" w14:textId="77777777" w:rsidR="00E84B58" w:rsidRPr="008C23F3" w:rsidRDefault="00E84B58" w:rsidP="00E84B58"/>
          <w:p w14:paraId="485B443E" w14:textId="4C5AA569" w:rsidR="00E84B58" w:rsidRPr="008C23F3" w:rsidRDefault="00486483" w:rsidP="00E84B58">
            <w:r w:rsidRPr="008C23F3">
              <w:t xml:space="preserve">Napomena: Podnosilac zahtjeva može se prijaviti samo jednom i to sa jednim projektom u toku 2025. godine </w:t>
            </w:r>
            <w:r w:rsidR="008C23F3" w:rsidRPr="008C23F3">
              <w:t xml:space="preserve">na Stalni </w:t>
            </w:r>
            <w:r w:rsidRPr="008C23F3">
              <w:t>javn</w:t>
            </w:r>
            <w:r w:rsidR="008C23F3" w:rsidRPr="008C23F3">
              <w:t xml:space="preserve">i </w:t>
            </w:r>
            <w:r w:rsidRPr="008C23F3">
              <w:t>poziv</w:t>
            </w:r>
            <w:r w:rsidR="008C23F3" w:rsidRPr="008C23F3">
              <w:t>.</w:t>
            </w:r>
          </w:p>
        </w:tc>
      </w:tr>
      <w:tr w:rsidR="00E84B58" w14:paraId="61866F3A" w14:textId="77777777" w:rsidTr="008D7232">
        <w:trPr>
          <w:trHeight w:val="1330"/>
        </w:trPr>
        <w:tc>
          <w:tcPr>
            <w:tcW w:w="540" w:type="dxa"/>
            <w:vAlign w:val="center"/>
          </w:tcPr>
          <w:p w14:paraId="7E5C7198" w14:textId="308F7C8E" w:rsidR="00E84B58" w:rsidRDefault="00E84B58" w:rsidP="00E84B58">
            <w:r>
              <w:t>1</w:t>
            </w:r>
            <w:r w:rsidR="00486483">
              <w:t>1</w:t>
            </w:r>
            <w:r>
              <w:t>.</w:t>
            </w:r>
          </w:p>
        </w:tc>
        <w:tc>
          <w:tcPr>
            <w:tcW w:w="3240" w:type="dxa"/>
            <w:vAlign w:val="center"/>
          </w:tcPr>
          <w:p w14:paraId="3B7ED087" w14:textId="5176B751" w:rsidR="00E84B58" w:rsidRDefault="00E84B58" w:rsidP="00E84B58">
            <w:r>
              <w:t>Prijave koje neće biti razmatrane:</w:t>
            </w:r>
          </w:p>
        </w:tc>
        <w:tc>
          <w:tcPr>
            <w:tcW w:w="6390" w:type="dxa"/>
            <w:vAlign w:val="center"/>
          </w:tcPr>
          <w:p w14:paraId="12B97F93" w14:textId="28E9DB68" w:rsidR="00E84B58" w:rsidRPr="002C27AA" w:rsidRDefault="00E84B58" w:rsidP="00E84B58">
            <w:pPr>
              <w:pStyle w:val="ListParagraph"/>
              <w:numPr>
                <w:ilvl w:val="0"/>
                <w:numId w:val="4"/>
              </w:numPr>
            </w:pPr>
            <w:r>
              <w:t>N</w:t>
            </w:r>
            <w:r w:rsidRPr="008D7232">
              <w:t>eblagovremene prijave;</w:t>
            </w:r>
          </w:p>
          <w:p w14:paraId="37AF0909" w14:textId="508DAD7F" w:rsidR="00E84B58" w:rsidRDefault="002C3A5D" w:rsidP="00E84B58">
            <w:pPr>
              <w:pStyle w:val="ListParagraph"/>
              <w:numPr>
                <w:ilvl w:val="0"/>
                <w:numId w:val="4"/>
              </w:numPr>
            </w:pPr>
            <w:r>
              <w:t>K</w:t>
            </w:r>
            <w:r w:rsidRPr="002C3A5D">
              <w:t>orisnici sredstava koji prema evidencijama Ministarstva do datuma apliciranja na ovaj stalni javni poziv nisu dostavili Izvještaj o namjenskom utrošku sredstava, odnosno nisu opravdali sredstva dodijeljena u prethodnom periodu, a bili su dužni to učiniti, ne ispunjavaju uvjete za dodjelu sredstava po ovom stalnom javnom pozivu, te se njihove prijave neće razmatrati</w:t>
            </w:r>
            <w:r w:rsidR="00E84B58">
              <w:t>;</w:t>
            </w:r>
          </w:p>
          <w:p w14:paraId="5F2C6F17" w14:textId="7392E9EB" w:rsidR="00AF50BB" w:rsidRDefault="00161512" w:rsidP="00AF50BB">
            <w:pPr>
              <w:pStyle w:val="ListParagraph"/>
              <w:numPr>
                <w:ilvl w:val="0"/>
                <w:numId w:val="4"/>
              </w:numPr>
            </w:pPr>
            <w:r>
              <w:t xml:space="preserve">Prijave podnesene od </w:t>
            </w:r>
            <w:r w:rsidRPr="00161512">
              <w:t>podnosioc</w:t>
            </w:r>
            <w:r>
              <w:t>a</w:t>
            </w:r>
            <w:r w:rsidRPr="00161512">
              <w:t xml:space="preserve"> prijava koji </w:t>
            </w:r>
            <w:r w:rsidRPr="00161512">
              <w:rPr>
                <w:u w:val="single"/>
              </w:rPr>
              <w:t>ne mogu</w:t>
            </w:r>
            <w:r w:rsidRPr="00161512">
              <w:t xml:space="preserve"> biti korisnici sredstava po</w:t>
            </w:r>
            <w:r w:rsidR="00486483">
              <w:t xml:space="preserve"> ovom stalnom javnom pozivu</w:t>
            </w:r>
            <w:r w:rsidR="00C65E03">
              <w:t>;</w:t>
            </w:r>
          </w:p>
          <w:p w14:paraId="29F6B7CB" w14:textId="5EB5D5FE" w:rsidR="00161512" w:rsidRDefault="00161512" w:rsidP="00E84B58">
            <w:pPr>
              <w:pStyle w:val="ListParagraph"/>
              <w:numPr>
                <w:ilvl w:val="0"/>
                <w:numId w:val="4"/>
              </w:numPr>
            </w:pPr>
            <w:r>
              <w:t xml:space="preserve">Prijave za koje se utvrdi da nisu ispunile opće uslove propisane </w:t>
            </w:r>
            <w:r w:rsidR="00486483">
              <w:t xml:space="preserve">Stalnim </w:t>
            </w:r>
            <w:r>
              <w:t>javnim pozivom;</w:t>
            </w:r>
          </w:p>
          <w:p w14:paraId="0206FA36" w14:textId="0BD2CA76" w:rsidR="00AF50BB" w:rsidRDefault="00AF50BB" w:rsidP="00AF50BB">
            <w:pPr>
              <w:pStyle w:val="ListParagraph"/>
              <w:numPr>
                <w:ilvl w:val="0"/>
                <w:numId w:val="4"/>
              </w:numPr>
            </w:pPr>
            <w:r w:rsidRPr="00AF50BB">
              <w:t xml:space="preserve">Ukoliko podnosilac prijave/zahtjeva koji se prijavljuje na </w:t>
            </w:r>
            <w:r w:rsidR="00486483">
              <w:t xml:space="preserve">Stalni javni poziv </w:t>
            </w:r>
            <w:r w:rsidR="000434BB">
              <w:t xml:space="preserve">od </w:t>
            </w:r>
            <w:r w:rsidR="000434BB" w:rsidRPr="008C23F3">
              <w:t xml:space="preserve">Ministarstva traži </w:t>
            </w:r>
            <w:r w:rsidRPr="008C23F3">
              <w:t>iznos veći od maksimalno dozvoljenog po</w:t>
            </w:r>
            <w:r w:rsidR="000434BB" w:rsidRPr="008C23F3">
              <w:t xml:space="preserve"> projektu u okviru</w:t>
            </w:r>
            <w:r w:rsidRPr="008C23F3">
              <w:t xml:space="preserve"> program</w:t>
            </w:r>
            <w:r w:rsidR="000434BB" w:rsidRPr="008C23F3">
              <w:t>a</w:t>
            </w:r>
            <w:r w:rsidR="00486483" w:rsidRPr="008C23F3">
              <w:t xml:space="preserve"> koji se realizira putem Stalnog</w:t>
            </w:r>
            <w:r w:rsidRPr="008C23F3">
              <w:t xml:space="preserve"> javnog poziva;</w:t>
            </w:r>
          </w:p>
          <w:p w14:paraId="0B128BB6" w14:textId="14AEAD04" w:rsidR="00161512" w:rsidRDefault="00161512" w:rsidP="00E84B58">
            <w:pPr>
              <w:pStyle w:val="ListParagraph"/>
              <w:numPr>
                <w:ilvl w:val="0"/>
                <w:numId w:val="4"/>
              </w:numPr>
            </w:pPr>
            <w:r>
              <w:t xml:space="preserve">Prijave za koje se u procesu selekcije utvrdi formalni nedostatak ili da su nepotpune, a </w:t>
            </w:r>
            <w:r w:rsidRPr="00161512">
              <w:t xml:space="preserve">za koji nije u tekstu </w:t>
            </w:r>
            <w:r w:rsidR="008B241A">
              <w:t>Stalnog j</w:t>
            </w:r>
            <w:r w:rsidRPr="00161512">
              <w:t>avnog poziva i u ovom uputstvu navedeno da se može dopunjavati</w:t>
            </w:r>
          </w:p>
        </w:tc>
      </w:tr>
      <w:tr w:rsidR="00E84B58" w14:paraId="30A94F1E" w14:textId="77777777" w:rsidTr="0086785F">
        <w:trPr>
          <w:trHeight w:val="1275"/>
        </w:trPr>
        <w:tc>
          <w:tcPr>
            <w:tcW w:w="540" w:type="dxa"/>
            <w:vAlign w:val="center"/>
          </w:tcPr>
          <w:p w14:paraId="16A1FF33" w14:textId="1470446F" w:rsidR="00E84B58" w:rsidRDefault="00E84B58" w:rsidP="00E84B58">
            <w:r>
              <w:t>1</w:t>
            </w:r>
            <w:r w:rsidR="00486483">
              <w:t>2</w:t>
            </w:r>
            <w:r w:rsidR="00161512">
              <w:t>.</w:t>
            </w:r>
          </w:p>
        </w:tc>
        <w:tc>
          <w:tcPr>
            <w:tcW w:w="3240" w:type="dxa"/>
            <w:vAlign w:val="center"/>
          </w:tcPr>
          <w:p w14:paraId="17FA8FC2" w14:textId="5521A40A" w:rsidR="00E84B58" w:rsidRPr="008D7232" w:rsidRDefault="00E84B58" w:rsidP="00E84B58">
            <w:r w:rsidRPr="008D7232">
              <w:t>Opis postupka administrativne provjere (selekcije) prijave (uslovi koje podnosioci prijave trebaju zadovoljavati kako bi mogli</w:t>
            </w:r>
            <w:r>
              <w:t xml:space="preserve"> biti razmatrani za dodjelu budžetskih sredstava</w:t>
            </w:r>
            <w:r w:rsidRPr="008D7232">
              <w:t>)</w:t>
            </w:r>
          </w:p>
        </w:tc>
        <w:tc>
          <w:tcPr>
            <w:tcW w:w="6390" w:type="dxa"/>
            <w:vAlign w:val="center"/>
          </w:tcPr>
          <w:p w14:paraId="46D21F54" w14:textId="2D5C78D1" w:rsidR="00E84B58" w:rsidRDefault="00E84B58" w:rsidP="00E84B58">
            <w:pPr>
              <w:pStyle w:val="ListParagraph"/>
              <w:numPr>
                <w:ilvl w:val="0"/>
                <w:numId w:val="2"/>
              </w:numPr>
              <w:ind w:left="342"/>
            </w:pPr>
            <w:r w:rsidRPr="008C23F3">
              <w:t xml:space="preserve">Administrativnom provjerom se utvrđuje ispunjavanje </w:t>
            </w:r>
            <w:r w:rsidR="00161512" w:rsidRPr="008C23F3">
              <w:t xml:space="preserve">općih uslova i </w:t>
            </w:r>
            <w:r>
              <w:t>kriterija</w:t>
            </w:r>
            <w:r w:rsidR="00486483">
              <w:t xml:space="preserve"> Stalnog j</w:t>
            </w:r>
            <w:r>
              <w:t>avnog poziva u smislu odgovarajućih korisnika sredstava po programima, da li je prijava blagovremena i potpuna, da li je podnesena na odgovarajućem obrascu, da li je dostavljena sva tražena dokumentacija u tekstu</w:t>
            </w:r>
            <w:r w:rsidR="00486483">
              <w:t xml:space="preserve"> Stalnog</w:t>
            </w:r>
            <w:r>
              <w:t xml:space="preserve"> javnog poziva i obrascu Zahtjeva i drugi uslovi navedeni u tekstu </w:t>
            </w:r>
            <w:r w:rsidR="00486483">
              <w:t>Stalnog j</w:t>
            </w:r>
            <w:r>
              <w:t>avnog poziva, obrascu Zahtjeva i ovom Uputstvu. Dakle, u ovoj fazi se provjerava ispunjenost formalno-pravnih uslova za pristupanje sljedećoj fazi, koja se odnosi na ocjenjivanje projekata.</w:t>
            </w:r>
          </w:p>
          <w:p w14:paraId="6054528B" w14:textId="294A8CA4" w:rsidR="00D07C20" w:rsidRPr="00D07C20" w:rsidRDefault="00E84B58" w:rsidP="00E84B58">
            <w:pPr>
              <w:pStyle w:val="ListParagraph"/>
              <w:numPr>
                <w:ilvl w:val="0"/>
                <w:numId w:val="2"/>
              </w:numPr>
              <w:ind w:left="342"/>
            </w:pPr>
            <w:r w:rsidRPr="008C23F3">
              <w:rPr>
                <w:lang w:val="hr-HR"/>
              </w:rPr>
              <w:t xml:space="preserve">Ukoliko se prilikom selekcije utvrdi formalni nedostatak, za koji </w:t>
            </w:r>
            <w:r w:rsidR="008C23F3" w:rsidRPr="008C23F3">
              <w:rPr>
                <w:lang w:val="hr-HR"/>
              </w:rPr>
              <w:t xml:space="preserve">je </w:t>
            </w:r>
            <w:r w:rsidRPr="008C23F3">
              <w:rPr>
                <w:lang w:val="hr-HR"/>
              </w:rPr>
              <w:t xml:space="preserve">u tekstu </w:t>
            </w:r>
            <w:r w:rsidR="00486483" w:rsidRPr="008C23F3">
              <w:rPr>
                <w:lang w:val="hr-HR"/>
              </w:rPr>
              <w:t>Stalnog j</w:t>
            </w:r>
            <w:r w:rsidRPr="008C23F3">
              <w:rPr>
                <w:lang w:val="hr-HR"/>
              </w:rPr>
              <w:t>avnog poziva i</w:t>
            </w:r>
            <w:r w:rsidR="008C23F3" w:rsidRPr="008C23F3">
              <w:rPr>
                <w:lang w:val="hr-HR"/>
              </w:rPr>
              <w:t>/ili</w:t>
            </w:r>
            <w:r w:rsidRPr="008C23F3">
              <w:rPr>
                <w:lang w:val="hr-HR"/>
              </w:rPr>
              <w:t xml:space="preserve"> u ovom uputstvu navedeno da se može dopunjavati</w:t>
            </w:r>
            <w:r w:rsidR="008C23F3" w:rsidRPr="008C23F3">
              <w:rPr>
                <w:lang w:val="hr-HR"/>
              </w:rPr>
              <w:t>/ispraviti</w:t>
            </w:r>
            <w:r w:rsidRPr="008C23F3">
              <w:rPr>
                <w:lang w:val="hr-HR"/>
              </w:rPr>
              <w:t xml:space="preserve">, Ministarstvo će pozvati aplikanta da utvrđeni nedostatak otkloni u roku od </w:t>
            </w:r>
            <w:r w:rsidR="00FD1038" w:rsidRPr="008C23F3">
              <w:rPr>
                <w:lang w:val="hr-HR"/>
              </w:rPr>
              <w:t>5</w:t>
            </w:r>
            <w:r w:rsidRPr="008C23F3">
              <w:rPr>
                <w:lang w:val="hr-HR"/>
              </w:rPr>
              <w:t xml:space="preserve"> dana</w:t>
            </w:r>
            <w:r w:rsidR="0086785F" w:rsidRPr="008C23F3">
              <w:rPr>
                <w:lang w:val="hr-HR"/>
              </w:rPr>
              <w:t xml:space="preserve"> putem </w:t>
            </w:r>
            <w:r w:rsidR="0086785F">
              <w:rPr>
                <w:lang w:val="hr-HR"/>
              </w:rPr>
              <w:lastRenderedPageBreak/>
              <w:t xml:space="preserve">objave </w:t>
            </w:r>
            <w:r w:rsidR="0086785F" w:rsidRPr="0086785F">
              <w:rPr>
                <w:lang w:val="hr-HR"/>
              </w:rPr>
              <w:t>evidencije formalno neispravnih prijava na web stranici Ministarstva</w:t>
            </w:r>
            <w:r w:rsidRPr="00C5490C">
              <w:rPr>
                <w:lang w:val="hr-HR"/>
              </w:rPr>
              <w:t>.</w:t>
            </w:r>
            <w:r>
              <w:rPr>
                <w:lang w:val="hr-HR"/>
              </w:rPr>
              <w:t xml:space="preserve"> </w:t>
            </w:r>
          </w:p>
          <w:p w14:paraId="721EB6DA" w14:textId="0A33DFCC" w:rsidR="00D07C20" w:rsidRPr="006C7B63" w:rsidRDefault="0086785F" w:rsidP="0086785F">
            <w:pPr>
              <w:ind w:left="342"/>
              <w:rPr>
                <w:lang w:val="hr-HR"/>
              </w:rPr>
            </w:pPr>
            <w:r w:rsidRPr="006C7B63">
              <w:rPr>
                <w:lang w:val="hr-HR"/>
              </w:rPr>
              <w:t>Podnosi</w:t>
            </w:r>
            <w:r w:rsidR="00422BD0">
              <w:rPr>
                <w:lang w:val="hr-HR"/>
              </w:rPr>
              <w:t>lac</w:t>
            </w:r>
            <w:r w:rsidRPr="006C7B63">
              <w:rPr>
                <w:lang w:val="hr-HR"/>
              </w:rPr>
              <w:t xml:space="preserve"> prijave</w:t>
            </w:r>
            <w:r w:rsidR="00687129" w:rsidRPr="006C7B63">
              <w:rPr>
                <w:lang w:val="hr-HR"/>
              </w:rPr>
              <w:t>,</w:t>
            </w:r>
            <w:r w:rsidRPr="006C7B63">
              <w:rPr>
                <w:lang w:val="hr-HR"/>
              </w:rPr>
              <w:t xml:space="preserve"> koji je obaviješten o mogućnosti dopune prijave (putem obavještenja na web stranici Ministarstva)</w:t>
            </w:r>
            <w:r w:rsidR="00687129" w:rsidRPr="006C7B63">
              <w:rPr>
                <w:lang w:val="hr-HR"/>
              </w:rPr>
              <w:t>, a</w:t>
            </w:r>
            <w:r w:rsidRPr="006C7B63">
              <w:rPr>
                <w:lang w:val="hr-HR"/>
              </w:rPr>
              <w:t xml:space="preserve"> ne izvrši dopunu u ostavljenom roku ili izvrši neodgovarajuću dopunu prema ocjeni Komisije za selekciju prijava, neće imati mogućnost naknadne dopune niti prigovora, odnosno neće moći dalje sudjelovati u proceduri dodjele sredstava po </w:t>
            </w:r>
            <w:r w:rsidR="00486483" w:rsidRPr="006C7B63">
              <w:rPr>
                <w:lang w:val="hr-HR"/>
              </w:rPr>
              <w:t xml:space="preserve">Stalnom </w:t>
            </w:r>
            <w:r w:rsidRPr="006C7B63">
              <w:rPr>
                <w:lang w:val="hr-HR"/>
              </w:rPr>
              <w:t>javnom pozivu.</w:t>
            </w:r>
          </w:p>
          <w:p w14:paraId="1FAC9739" w14:textId="77777777" w:rsidR="0086785F" w:rsidRDefault="0086785F" w:rsidP="00D07C20">
            <w:pPr>
              <w:ind w:left="-18"/>
              <w:rPr>
                <w:color w:val="FF0000"/>
                <w:lang w:val="hr-HR"/>
              </w:rPr>
            </w:pPr>
          </w:p>
          <w:p w14:paraId="0FA38550" w14:textId="5FF045A4" w:rsidR="00E84B58" w:rsidRPr="008F6BF9" w:rsidRDefault="00E84B58" w:rsidP="00D07C20">
            <w:pPr>
              <w:ind w:left="-18"/>
              <w:rPr>
                <w:b/>
                <w:bCs/>
              </w:rPr>
            </w:pPr>
            <w:r w:rsidRPr="008F6BF9">
              <w:rPr>
                <w:b/>
                <w:bCs/>
                <w:lang w:val="hr-HR"/>
              </w:rPr>
              <w:t xml:space="preserve">Napomena: </w:t>
            </w:r>
          </w:p>
          <w:p w14:paraId="16012EB6" w14:textId="6551EFA3" w:rsidR="00D07C20" w:rsidRPr="006C7B63" w:rsidRDefault="00D07C20" w:rsidP="00D07C20">
            <w:r w:rsidRPr="006C7B63">
              <w:rPr>
                <w:b/>
                <w:bCs/>
              </w:rPr>
              <w:t xml:space="preserve">Dopuna dokumentacije </w:t>
            </w:r>
            <w:r w:rsidRPr="00BF54DB">
              <w:t>može se omogućiti</w:t>
            </w:r>
            <w:r w:rsidRPr="006C7B63">
              <w:t xml:space="preserve"> samo onom aplikantu čija prijava je nepotpuna zbog nedostavljanja dokumenta – dokaza o činjenicama koje se vode u evidencijama ili registrima kod drugih organa, a koje su vidljive iz popunjenog aplikacijskog obrasca:</w:t>
            </w:r>
          </w:p>
          <w:p w14:paraId="4669C8C5" w14:textId="2BB36362" w:rsidR="00D07C20" w:rsidRPr="006C7B63" w:rsidRDefault="00D07C20" w:rsidP="00D07C20">
            <w:r w:rsidRPr="006C7B63">
              <w:t>- dokaz o otvorenom računu u poslovnoj banci</w:t>
            </w:r>
            <w:r w:rsidR="001862B9" w:rsidRPr="006C7B63">
              <w:t>;</w:t>
            </w:r>
          </w:p>
          <w:p w14:paraId="6348006F" w14:textId="1BF87ECB" w:rsidR="00D07C20" w:rsidRPr="006C7B63" w:rsidRDefault="00D07C20" w:rsidP="00D07C20">
            <w:r w:rsidRPr="006C7B63">
              <w:t>- uvjerenje o poreznoj registraciji (ID broj)</w:t>
            </w:r>
            <w:r w:rsidR="001862B9" w:rsidRPr="006C7B63">
              <w:t>;</w:t>
            </w:r>
          </w:p>
          <w:p w14:paraId="39F66FEF" w14:textId="4DD835B6" w:rsidR="001862B9" w:rsidRDefault="001862B9" w:rsidP="00D07C20">
            <w:r w:rsidRPr="006C7B63">
              <w:t>- dokaz da odgovorno lice podnosioca prijave nije osuđivano za krivična djela, osim za krivična djela iz oblasti saobraćaja (uvjerenje MUP-a koje ne smije biti starije od šest mjeseci)</w:t>
            </w:r>
            <w:r w:rsidR="00802E2E">
              <w:t>,</w:t>
            </w:r>
          </w:p>
          <w:p w14:paraId="7A915424" w14:textId="4BEC21BC" w:rsidR="00802E2E" w:rsidRPr="006C7B63" w:rsidRDefault="00802E2E" w:rsidP="00D07C20">
            <w:r w:rsidRPr="00802E2E">
              <w:t>- Rješenje o registraciji ili izvod iz registra iz kojeg je vidljiva djelatnost za koju je podnosilac zahtjeva registriran.</w:t>
            </w:r>
          </w:p>
          <w:p w14:paraId="1B8A823F" w14:textId="77777777" w:rsidR="001862B9" w:rsidRPr="00D07C20" w:rsidRDefault="001862B9" w:rsidP="00D07C20">
            <w:pPr>
              <w:rPr>
                <w:color w:val="FF0000"/>
              </w:rPr>
            </w:pPr>
          </w:p>
          <w:p w14:paraId="74AE8E0B" w14:textId="2268EE51" w:rsidR="00E84B58" w:rsidRPr="006C7B63" w:rsidRDefault="00D07C20" w:rsidP="00D07C20">
            <w:r w:rsidRPr="006C7B63">
              <w:t xml:space="preserve">Ostala dokumentacija tražena </w:t>
            </w:r>
            <w:r w:rsidR="00486483" w:rsidRPr="006C7B63">
              <w:t xml:space="preserve">Stalnim </w:t>
            </w:r>
            <w:r w:rsidRPr="006C7B63">
              <w:t>javnim pozivom (u potpunosti i ispravno popunjen obrazac</w:t>
            </w:r>
            <w:r w:rsidR="00486483" w:rsidRPr="006C7B63">
              <w:t xml:space="preserve"> Zahtjeva</w:t>
            </w:r>
            <w:r w:rsidRPr="006C7B63">
              <w:t>, detaljan opis projekta za koji se traži (su)finansiranje, detaljno razrađen finansijski plan projekta (budžet) i dr.) ne može se dopunjavati.</w:t>
            </w:r>
          </w:p>
          <w:p w14:paraId="062B4D87" w14:textId="331CB95E" w:rsidR="00FD1038" w:rsidRPr="006C7B63" w:rsidRDefault="00FD1038" w:rsidP="00D07C20"/>
          <w:p w14:paraId="0269D1FC" w14:textId="4F1FCE3F" w:rsidR="00FD1038" w:rsidRPr="00D07C20" w:rsidRDefault="00FD1038" w:rsidP="00D07C20">
            <w:pPr>
              <w:rPr>
                <w:color w:val="FF0000"/>
              </w:rPr>
            </w:pPr>
            <w:r w:rsidRPr="006C7B63">
              <w:t xml:space="preserve">Aplikanti čije su prijave formalno neispravne, a kojima nije ostavljena mogućnost dopune, mogu izjaviti prigovor u roku od </w:t>
            </w:r>
            <w:r w:rsidRPr="00DE2751">
              <w:rPr>
                <w:b/>
                <w:bCs/>
              </w:rPr>
              <w:t>5 dana</w:t>
            </w:r>
            <w:r w:rsidRPr="006C7B63">
              <w:t xml:space="preserve"> od dana objave evidencije formalno neispravnih prijava na web stranici Ministarstva.</w:t>
            </w:r>
          </w:p>
        </w:tc>
      </w:tr>
      <w:tr w:rsidR="00E84B58" w14:paraId="5EC739E9" w14:textId="77777777" w:rsidTr="008D7232">
        <w:trPr>
          <w:trHeight w:val="672"/>
        </w:trPr>
        <w:tc>
          <w:tcPr>
            <w:tcW w:w="540" w:type="dxa"/>
            <w:vAlign w:val="center"/>
          </w:tcPr>
          <w:p w14:paraId="6A4D0FEF" w14:textId="1B135DAD" w:rsidR="00E84B58" w:rsidRDefault="00E84B58" w:rsidP="00E84B58">
            <w:r>
              <w:lastRenderedPageBreak/>
              <w:t>1</w:t>
            </w:r>
            <w:r w:rsidR="00486483">
              <w:t>3.</w:t>
            </w:r>
          </w:p>
        </w:tc>
        <w:tc>
          <w:tcPr>
            <w:tcW w:w="3240" w:type="dxa"/>
            <w:vAlign w:val="center"/>
          </w:tcPr>
          <w:p w14:paraId="43D9EF71" w14:textId="3D87A084" w:rsidR="00E84B58" w:rsidRPr="00A052B2" w:rsidRDefault="00E84B58" w:rsidP="00E84B58">
            <w:r w:rsidRPr="00A052B2">
              <w:t>Opis postupka odabira projekata koji će biti finansirani</w:t>
            </w:r>
          </w:p>
        </w:tc>
        <w:tc>
          <w:tcPr>
            <w:tcW w:w="6390" w:type="dxa"/>
            <w:vAlign w:val="center"/>
          </w:tcPr>
          <w:p w14:paraId="1AC3A615" w14:textId="52E7C27B" w:rsidR="00E84B58" w:rsidRDefault="00E84B58" w:rsidP="00E84B58">
            <w:r>
              <w:t xml:space="preserve">Ocjenu podnesenih prijava na </w:t>
            </w:r>
            <w:r w:rsidR="00486483">
              <w:t xml:space="preserve">Stalni </w:t>
            </w:r>
            <w:r w:rsidRPr="00A052B2">
              <w:t>javni poziv</w:t>
            </w:r>
            <w:r>
              <w:t>,</w:t>
            </w:r>
            <w:r w:rsidRPr="00A052B2">
              <w:t xml:space="preserve"> </w:t>
            </w:r>
            <w:r>
              <w:t xml:space="preserve">koje su ispunile formalno pravne uslove (zadovoljili uslove selekcije projekata) će vršiti Komisija Federalnog ministarstva obrazovanja i nauke na osnovu kriterija iz priloga </w:t>
            </w:r>
            <w:r w:rsidR="00486483">
              <w:t>Stalnog j</w:t>
            </w:r>
            <w:r>
              <w:t>avnog poziva.</w:t>
            </w:r>
          </w:p>
        </w:tc>
      </w:tr>
      <w:tr w:rsidR="00E84B58" w14:paraId="48109685" w14:textId="77777777" w:rsidTr="008D7232">
        <w:trPr>
          <w:trHeight w:val="657"/>
        </w:trPr>
        <w:tc>
          <w:tcPr>
            <w:tcW w:w="540" w:type="dxa"/>
            <w:vAlign w:val="center"/>
          </w:tcPr>
          <w:p w14:paraId="1C058806" w14:textId="28F941E9" w:rsidR="00E84B58" w:rsidRDefault="00E84B58" w:rsidP="00E84B58">
            <w:r>
              <w:t>1</w:t>
            </w:r>
            <w:r w:rsidR="00486483">
              <w:t>4.</w:t>
            </w:r>
          </w:p>
        </w:tc>
        <w:tc>
          <w:tcPr>
            <w:tcW w:w="3240" w:type="dxa"/>
            <w:vAlign w:val="center"/>
          </w:tcPr>
          <w:p w14:paraId="01B1BA07" w14:textId="6E702CCB" w:rsidR="00E84B58" w:rsidRPr="00287EE4" w:rsidRDefault="00E84B58" w:rsidP="00E84B58">
            <w:r w:rsidRPr="00287EE4">
              <w:t>Način podnošenja prigovora</w:t>
            </w:r>
          </w:p>
        </w:tc>
        <w:tc>
          <w:tcPr>
            <w:tcW w:w="6390" w:type="dxa"/>
            <w:vAlign w:val="center"/>
          </w:tcPr>
          <w:p w14:paraId="1A3A425D" w14:textId="356922CA" w:rsidR="00E84B58" w:rsidRDefault="00E84B58" w:rsidP="00E84B58">
            <w:r w:rsidRPr="006C7B63">
              <w:t xml:space="preserve">Objava o rokovima i načinu podnošenja prigovora na rezultate </w:t>
            </w:r>
            <w:r w:rsidR="00486483" w:rsidRPr="006C7B63">
              <w:t>Stalnog j</w:t>
            </w:r>
            <w:r w:rsidRPr="006C7B63">
              <w:t xml:space="preserve">avnog poziva će biti objavljena na web stranici Ministarstva uz rezultate </w:t>
            </w:r>
            <w:r w:rsidR="0086785F" w:rsidRPr="006C7B63">
              <w:t xml:space="preserve">o dodjeli sredstava putem </w:t>
            </w:r>
            <w:r w:rsidR="00486483" w:rsidRPr="006C7B63">
              <w:t>Stalnog j</w:t>
            </w:r>
            <w:r w:rsidRPr="006C7B63">
              <w:t>avnog poziva.</w:t>
            </w:r>
          </w:p>
        </w:tc>
      </w:tr>
      <w:tr w:rsidR="00E84B58" w14:paraId="2DB380BC" w14:textId="77777777" w:rsidTr="008D7232">
        <w:trPr>
          <w:trHeight w:val="672"/>
        </w:trPr>
        <w:tc>
          <w:tcPr>
            <w:tcW w:w="540" w:type="dxa"/>
            <w:vAlign w:val="center"/>
          </w:tcPr>
          <w:p w14:paraId="3F6B47A8" w14:textId="0107B305" w:rsidR="00E84B58" w:rsidRDefault="00E84B58" w:rsidP="00E84B58">
            <w:r>
              <w:t>1</w:t>
            </w:r>
            <w:r w:rsidR="00486483">
              <w:t>5.</w:t>
            </w:r>
          </w:p>
        </w:tc>
        <w:tc>
          <w:tcPr>
            <w:tcW w:w="3240" w:type="dxa"/>
            <w:vAlign w:val="center"/>
          </w:tcPr>
          <w:p w14:paraId="11327019" w14:textId="31BFE6DA" w:rsidR="00E84B58" w:rsidRPr="00287EE4" w:rsidRDefault="00E84B58" w:rsidP="00E84B58">
            <w:r w:rsidRPr="00287EE4">
              <w:t>Opis postupka ugovaranja odabranih programa i projekata</w:t>
            </w:r>
          </w:p>
        </w:tc>
        <w:tc>
          <w:tcPr>
            <w:tcW w:w="6390" w:type="dxa"/>
            <w:vAlign w:val="center"/>
          </w:tcPr>
          <w:p w14:paraId="57031E70" w14:textId="3435C055" w:rsidR="00E84B58" w:rsidRDefault="00E84B58" w:rsidP="00E84B58">
            <w:r w:rsidRPr="001534F8">
              <w:t>Sa korisnicima sredstava, federaln</w:t>
            </w:r>
            <w:r>
              <w:t>a ministrica</w:t>
            </w:r>
            <w:r w:rsidRPr="001534F8">
              <w:t xml:space="preserve"> obrazovanja i nauke će potpisati posebne ugovore o realizaciji dodijeljenih sredstava, kojim će se regulirati način i rokovi utroška sredstava i izvještavanje.</w:t>
            </w:r>
          </w:p>
        </w:tc>
      </w:tr>
      <w:tr w:rsidR="00E84B58" w14:paraId="2E0B4FB8" w14:textId="77777777" w:rsidTr="008D7232">
        <w:trPr>
          <w:trHeight w:val="657"/>
        </w:trPr>
        <w:tc>
          <w:tcPr>
            <w:tcW w:w="540" w:type="dxa"/>
            <w:vAlign w:val="center"/>
          </w:tcPr>
          <w:p w14:paraId="5A5E822A" w14:textId="4574F35D" w:rsidR="00E84B58" w:rsidRDefault="00E84B58" w:rsidP="00E84B58">
            <w:r>
              <w:t>1</w:t>
            </w:r>
            <w:r w:rsidR="00486483">
              <w:t>6.</w:t>
            </w:r>
          </w:p>
        </w:tc>
        <w:tc>
          <w:tcPr>
            <w:tcW w:w="3240" w:type="dxa"/>
            <w:vAlign w:val="center"/>
          </w:tcPr>
          <w:p w14:paraId="019CC927" w14:textId="64D30807" w:rsidR="00E84B58" w:rsidRPr="000907CB" w:rsidRDefault="00E84B58" w:rsidP="00E84B58">
            <w:r w:rsidRPr="000907CB">
              <w:t>Opis postupka praćenja provođenja programa ili projekata</w:t>
            </w:r>
          </w:p>
        </w:tc>
        <w:tc>
          <w:tcPr>
            <w:tcW w:w="6390" w:type="dxa"/>
            <w:vAlign w:val="center"/>
          </w:tcPr>
          <w:p w14:paraId="76DD9789" w14:textId="345BE993" w:rsidR="00E84B58" w:rsidRDefault="00E84B58" w:rsidP="00E84B58">
            <w:r>
              <w:t xml:space="preserve">U skladu sa ugovorom o realizaciji projekta, korisnik je obavezan dostaviti izvještaj sa dokazima o namjenskom utrošku dodijeljenih sredstava. Ukoliko korisnik sredstava u roku </w:t>
            </w:r>
            <w:r w:rsidRPr="00EF3436">
              <w:t xml:space="preserve">utvrđenom </w:t>
            </w:r>
            <w:r>
              <w:t xml:space="preserve">u ugovoru </w:t>
            </w:r>
            <w:r w:rsidRPr="00EF3436">
              <w:t xml:space="preserve">ne dostavi Izvještaj o namjenskom utrošku dodijeljenih sredstava ili sredstva utroši nenamjenski, Ministarstvo će </w:t>
            </w:r>
            <w:r>
              <w:t xml:space="preserve">poduzeti odgovarajuće mjere u skladu sa odredbama zaključenog ugovora i </w:t>
            </w:r>
            <w:r w:rsidRPr="00EF3436">
              <w:t>u skladu sa zakonom.</w:t>
            </w:r>
          </w:p>
        </w:tc>
      </w:tr>
      <w:tr w:rsidR="00E84B58" w14:paraId="2A5E4DB1" w14:textId="77777777" w:rsidTr="008D7232">
        <w:trPr>
          <w:trHeight w:val="672"/>
        </w:trPr>
        <w:tc>
          <w:tcPr>
            <w:tcW w:w="540" w:type="dxa"/>
            <w:vAlign w:val="center"/>
          </w:tcPr>
          <w:p w14:paraId="02FE08E9" w14:textId="07ED759B" w:rsidR="00E84B58" w:rsidRDefault="00E84B58" w:rsidP="00E84B58">
            <w:r w:rsidRPr="00F33EAF">
              <w:lastRenderedPageBreak/>
              <w:t>1</w:t>
            </w:r>
            <w:r w:rsidR="00486483">
              <w:t>7.</w:t>
            </w:r>
          </w:p>
        </w:tc>
        <w:tc>
          <w:tcPr>
            <w:tcW w:w="3240" w:type="dxa"/>
            <w:vAlign w:val="center"/>
          </w:tcPr>
          <w:p w14:paraId="67B2E184" w14:textId="7416DC5C" w:rsidR="00E84B58" w:rsidRPr="000907CB" w:rsidRDefault="00E84B58" w:rsidP="00E84B58">
            <w:r w:rsidRPr="000907CB">
              <w:t xml:space="preserve">Okvirni </w:t>
            </w:r>
            <w:r w:rsidR="00F33EAF">
              <w:t xml:space="preserve">rok za okončanje svih postupaka obuhvaćenih </w:t>
            </w:r>
            <w:r w:rsidR="00334FB3">
              <w:t xml:space="preserve">Stalnim </w:t>
            </w:r>
            <w:r w:rsidR="00F33EAF">
              <w:t>javnim pozivom</w:t>
            </w:r>
          </w:p>
        </w:tc>
        <w:tc>
          <w:tcPr>
            <w:tcW w:w="6390" w:type="dxa"/>
            <w:vAlign w:val="center"/>
          </w:tcPr>
          <w:p w14:paraId="54826B61" w14:textId="7FF4C093" w:rsidR="00E84B58" w:rsidRDefault="00486483" w:rsidP="00E84B58">
            <w:r>
              <w:t xml:space="preserve">Decembar </w:t>
            </w:r>
            <w:r w:rsidR="00E84B58" w:rsidRPr="00F33EAF">
              <w:t>2025. godine</w:t>
            </w:r>
          </w:p>
        </w:tc>
      </w:tr>
      <w:tr w:rsidR="00E84B58" w14:paraId="33BAD983" w14:textId="77777777" w:rsidTr="008D7232">
        <w:trPr>
          <w:trHeight w:val="672"/>
        </w:trPr>
        <w:tc>
          <w:tcPr>
            <w:tcW w:w="540" w:type="dxa"/>
            <w:vAlign w:val="center"/>
          </w:tcPr>
          <w:p w14:paraId="55304F10" w14:textId="6C2E84FD" w:rsidR="00E84B58" w:rsidRPr="00C50951" w:rsidRDefault="00F33EAF" w:rsidP="00E84B58">
            <w:r>
              <w:t>1</w:t>
            </w:r>
            <w:r w:rsidR="00486483">
              <w:t>8.</w:t>
            </w:r>
          </w:p>
        </w:tc>
        <w:tc>
          <w:tcPr>
            <w:tcW w:w="3240" w:type="dxa"/>
            <w:vAlign w:val="center"/>
          </w:tcPr>
          <w:p w14:paraId="3955F0EE" w14:textId="62ED9B11" w:rsidR="00E84B58" w:rsidRPr="00C50951" w:rsidRDefault="00F33EAF" w:rsidP="00E84B58">
            <w:r>
              <w:t>Datum objave</w:t>
            </w:r>
            <w:r w:rsidR="00334FB3">
              <w:t xml:space="preserve"> Stalnog</w:t>
            </w:r>
            <w:r>
              <w:t xml:space="preserve"> javnog poziva:</w:t>
            </w:r>
          </w:p>
        </w:tc>
        <w:tc>
          <w:tcPr>
            <w:tcW w:w="6390" w:type="dxa"/>
            <w:vAlign w:val="center"/>
          </w:tcPr>
          <w:p w14:paraId="3108A551" w14:textId="35C0C7B2" w:rsidR="00E84B58" w:rsidRPr="00C50951" w:rsidRDefault="00E40759" w:rsidP="00E84B58">
            <w:r>
              <w:t>15.05.2025. godine</w:t>
            </w:r>
          </w:p>
        </w:tc>
      </w:tr>
      <w:tr w:rsidR="00E84B58" w14:paraId="22A85405" w14:textId="77777777" w:rsidTr="00334FB3">
        <w:trPr>
          <w:trHeight w:val="1880"/>
        </w:trPr>
        <w:tc>
          <w:tcPr>
            <w:tcW w:w="540" w:type="dxa"/>
            <w:vAlign w:val="center"/>
          </w:tcPr>
          <w:p w14:paraId="7ED756E3" w14:textId="0DD33993" w:rsidR="00E84B58" w:rsidRDefault="00486483" w:rsidP="00E84B58">
            <w:r>
              <w:t>19.</w:t>
            </w:r>
          </w:p>
        </w:tc>
        <w:tc>
          <w:tcPr>
            <w:tcW w:w="3240" w:type="dxa"/>
            <w:vAlign w:val="center"/>
          </w:tcPr>
          <w:p w14:paraId="3354B56C" w14:textId="4FD98D2D" w:rsidR="00E84B58" w:rsidRPr="002A2983" w:rsidRDefault="00E84B58" w:rsidP="00E84B58">
            <w:r w:rsidRPr="002A2983">
              <w:t>Način komunikacije sa davaocem budžetskih sredstava tokom trajanja</w:t>
            </w:r>
            <w:r w:rsidR="00334FB3">
              <w:t xml:space="preserve"> Stalnog</w:t>
            </w:r>
            <w:r w:rsidRPr="002A2983">
              <w:t xml:space="preserve"> javnog poziva</w:t>
            </w:r>
          </w:p>
        </w:tc>
        <w:tc>
          <w:tcPr>
            <w:tcW w:w="6390" w:type="dxa"/>
            <w:vAlign w:val="center"/>
          </w:tcPr>
          <w:p w14:paraId="3823487B" w14:textId="2985F481" w:rsidR="00E84B58" w:rsidRPr="00EF3436" w:rsidRDefault="00E84B58" w:rsidP="00E84B58">
            <w:r w:rsidRPr="00EF3436">
              <w:rPr>
                <w:u w:val="single"/>
              </w:rPr>
              <w:t>Način komunikacije sa davaocem budžetskih sredstava tokom trajanja</w:t>
            </w:r>
            <w:r w:rsidR="00334FB3">
              <w:rPr>
                <w:u w:val="single"/>
              </w:rPr>
              <w:t xml:space="preserve"> Stalnog</w:t>
            </w:r>
            <w:r w:rsidRPr="00EF3436">
              <w:rPr>
                <w:u w:val="single"/>
              </w:rPr>
              <w:t xml:space="preserve"> javnog poziva</w:t>
            </w:r>
            <w:r w:rsidRPr="00EF3436">
              <w:t>:</w:t>
            </w:r>
          </w:p>
          <w:p w14:paraId="076FCEE7" w14:textId="31A7265D" w:rsidR="00E84B58" w:rsidRDefault="00E84B58" w:rsidP="00E84B58">
            <w:r>
              <w:t>Kontakt broj</w:t>
            </w:r>
            <w:r w:rsidR="00334FB3">
              <w:t xml:space="preserve"> </w:t>
            </w:r>
            <w:r>
              <w:t xml:space="preserve">telefona u Sektoru za </w:t>
            </w:r>
            <w:r w:rsidR="00F33EAF">
              <w:t xml:space="preserve">integralno obrazovanje i razvoj </w:t>
            </w:r>
            <w:r w:rsidR="00334FB3">
              <w:t xml:space="preserve"> je 036/355-715.</w:t>
            </w:r>
          </w:p>
          <w:p w14:paraId="53C0B338" w14:textId="3D030396" w:rsidR="00E84B58" w:rsidRDefault="00E84B58" w:rsidP="00E84B58">
            <w:r w:rsidRPr="002A2983">
              <w:t>Informacije se mogu dobiti radnim dan</w:t>
            </w:r>
            <w:r>
              <w:t>ima</w:t>
            </w:r>
            <w:r w:rsidRPr="002A2983">
              <w:t xml:space="preserve"> od 8.00 do 16.00 sati</w:t>
            </w:r>
            <w:r>
              <w:t>.</w:t>
            </w:r>
          </w:p>
        </w:tc>
      </w:tr>
    </w:tbl>
    <w:p w14:paraId="2EAC1424" w14:textId="77777777" w:rsidR="00531CAA" w:rsidRDefault="00531CAA" w:rsidP="00531CAA"/>
    <w:p w14:paraId="1A8D7821"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A4B"/>
    <w:multiLevelType w:val="hybridMultilevel"/>
    <w:tmpl w:val="1A8CEB0A"/>
    <w:lvl w:ilvl="0" w:tplc="B7526AE4">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29183A41"/>
    <w:multiLevelType w:val="hybridMultilevel"/>
    <w:tmpl w:val="148EC81A"/>
    <w:lvl w:ilvl="0" w:tplc="141A0001">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3"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6"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65A24935"/>
    <w:multiLevelType w:val="hybridMultilevel"/>
    <w:tmpl w:val="8298A400"/>
    <w:lvl w:ilvl="0" w:tplc="141A0001">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8"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 w15:restartNumberingAfterBreak="0">
    <w:nsid w:val="7DC840BC"/>
    <w:multiLevelType w:val="hybridMultilevel"/>
    <w:tmpl w:val="0C102B8E"/>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5"/>
  </w:num>
  <w:num w:numId="6">
    <w:abstractNumId w:val="1"/>
  </w:num>
  <w:num w:numId="7">
    <w:abstractNumId w:val="4"/>
  </w:num>
  <w:num w:numId="8">
    <w:abstractNumId w:val="9"/>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20D84"/>
    <w:rsid w:val="0003560D"/>
    <w:rsid w:val="00037C9A"/>
    <w:rsid w:val="000434BB"/>
    <w:rsid w:val="000475E5"/>
    <w:rsid w:val="00072C5F"/>
    <w:rsid w:val="0008271A"/>
    <w:rsid w:val="000843B5"/>
    <w:rsid w:val="000879A7"/>
    <w:rsid w:val="000907CB"/>
    <w:rsid w:val="000A4352"/>
    <w:rsid w:val="00102F11"/>
    <w:rsid w:val="00114EBC"/>
    <w:rsid w:val="00122D47"/>
    <w:rsid w:val="001534F8"/>
    <w:rsid w:val="00161512"/>
    <w:rsid w:val="00161610"/>
    <w:rsid w:val="00180C3E"/>
    <w:rsid w:val="001862B9"/>
    <w:rsid w:val="00286516"/>
    <w:rsid w:val="00287EE4"/>
    <w:rsid w:val="002A2983"/>
    <w:rsid w:val="002B5B75"/>
    <w:rsid w:val="002C27AA"/>
    <w:rsid w:val="002C3A5D"/>
    <w:rsid w:val="00326233"/>
    <w:rsid w:val="00334FB3"/>
    <w:rsid w:val="003430D1"/>
    <w:rsid w:val="0036621D"/>
    <w:rsid w:val="0038023F"/>
    <w:rsid w:val="00385848"/>
    <w:rsid w:val="003D5024"/>
    <w:rsid w:val="00403850"/>
    <w:rsid w:val="00422BD0"/>
    <w:rsid w:val="00456BE5"/>
    <w:rsid w:val="00486483"/>
    <w:rsid w:val="00493BB0"/>
    <w:rsid w:val="004C6670"/>
    <w:rsid w:val="00531CAA"/>
    <w:rsid w:val="006126FC"/>
    <w:rsid w:val="006409CC"/>
    <w:rsid w:val="0064482B"/>
    <w:rsid w:val="006567C9"/>
    <w:rsid w:val="0068154B"/>
    <w:rsid w:val="00687129"/>
    <w:rsid w:val="006C58F3"/>
    <w:rsid w:val="006C7B63"/>
    <w:rsid w:val="006D6D24"/>
    <w:rsid w:val="00722A74"/>
    <w:rsid w:val="00776F32"/>
    <w:rsid w:val="007C2323"/>
    <w:rsid w:val="007C2E94"/>
    <w:rsid w:val="008000F4"/>
    <w:rsid w:val="00802E2E"/>
    <w:rsid w:val="00827553"/>
    <w:rsid w:val="00833584"/>
    <w:rsid w:val="00846476"/>
    <w:rsid w:val="0086785F"/>
    <w:rsid w:val="00892F08"/>
    <w:rsid w:val="008A43F2"/>
    <w:rsid w:val="008B241A"/>
    <w:rsid w:val="008C23F3"/>
    <w:rsid w:val="008D7232"/>
    <w:rsid w:val="008F6BF9"/>
    <w:rsid w:val="0090497E"/>
    <w:rsid w:val="009475D3"/>
    <w:rsid w:val="00951D12"/>
    <w:rsid w:val="00962FDE"/>
    <w:rsid w:val="00982C39"/>
    <w:rsid w:val="00990EFB"/>
    <w:rsid w:val="009B6EE9"/>
    <w:rsid w:val="009D1A2F"/>
    <w:rsid w:val="009D642D"/>
    <w:rsid w:val="00A052B2"/>
    <w:rsid w:val="00A12739"/>
    <w:rsid w:val="00A22490"/>
    <w:rsid w:val="00A22BD2"/>
    <w:rsid w:val="00A40C84"/>
    <w:rsid w:val="00A51A77"/>
    <w:rsid w:val="00AA7510"/>
    <w:rsid w:val="00AE0B86"/>
    <w:rsid w:val="00AF1841"/>
    <w:rsid w:val="00AF50BB"/>
    <w:rsid w:val="00B44658"/>
    <w:rsid w:val="00BF54DB"/>
    <w:rsid w:val="00C24C3A"/>
    <w:rsid w:val="00C353B4"/>
    <w:rsid w:val="00C50951"/>
    <w:rsid w:val="00C5490C"/>
    <w:rsid w:val="00C65E03"/>
    <w:rsid w:val="00C93581"/>
    <w:rsid w:val="00C9651C"/>
    <w:rsid w:val="00CC33B5"/>
    <w:rsid w:val="00CD3D81"/>
    <w:rsid w:val="00CF333E"/>
    <w:rsid w:val="00D07C20"/>
    <w:rsid w:val="00DD3831"/>
    <w:rsid w:val="00DE2751"/>
    <w:rsid w:val="00E1434A"/>
    <w:rsid w:val="00E36A09"/>
    <w:rsid w:val="00E40759"/>
    <w:rsid w:val="00E84B58"/>
    <w:rsid w:val="00EF3436"/>
    <w:rsid w:val="00F03B24"/>
    <w:rsid w:val="00F12784"/>
    <w:rsid w:val="00F33EAF"/>
    <w:rsid w:val="00F4163F"/>
    <w:rsid w:val="00F75BC7"/>
    <w:rsid w:val="00FD103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7597">
      <w:bodyDiv w:val="1"/>
      <w:marLeft w:val="0"/>
      <w:marRight w:val="0"/>
      <w:marTop w:val="0"/>
      <w:marBottom w:val="0"/>
      <w:divBdr>
        <w:top w:val="none" w:sz="0" w:space="0" w:color="auto"/>
        <w:left w:val="none" w:sz="0" w:space="0" w:color="auto"/>
        <w:bottom w:val="none" w:sz="0" w:space="0" w:color="auto"/>
        <w:right w:val="none" w:sz="0" w:space="0" w:color="auto"/>
      </w:divBdr>
    </w:div>
    <w:div w:id="10599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A702-E25B-4981-A424-D87FBA63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41</cp:revision>
  <cp:lastPrinted>2024-06-11T10:00:00Z</cp:lastPrinted>
  <dcterms:created xsi:type="dcterms:W3CDTF">2024-05-28T07:20:00Z</dcterms:created>
  <dcterms:modified xsi:type="dcterms:W3CDTF">2025-05-14T13:17:00Z</dcterms:modified>
</cp:coreProperties>
</file>